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92172" w:rsidRDefault="00CE2464">
      <w:r>
        <w:t xml:space="preserve">  </w:t>
      </w:r>
    </w:p>
    <w:p w:rsidR="00792172" w:rsidRDefault="00792172"/>
    <w:p w:rsidR="00792172" w:rsidRDefault="00CE2464">
      <w:pPr>
        <w:jc w:val="center"/>
        <w:rPr>
          <w:rFonts w:cs="Calibri"/>
          <w:b/>
        </w:rPr>
      </w:pPr>
      <w:r>
        <w:rPr>
          <w:b/>
          <w:bCs/>
          <w:sz w:val="28"/>
          <w:szCs w:val="28"/>
        </w:rPr>
        <w:t>IZVJEŠTAJ O REALIZACIJI GODIŠNJEG PLANA RADA SLUŽBE</w:t>
      </w:r>
    </w:p>
    <w:p w:rsidR="00792172" w:rsidRPr="0051092F" w:rsidRDefault="00CE2464">
      <w:pPr>
        <w:pStyle w:val="Tijeloteksta"/>
        <w:numPr>
          <w:ilvl w:val="0"/>
          <w:numId w:val="5"/>
        </w:numPr>
        <w:spacing w:before="60" w:after="0"/>
        <w:ind w:left="288" w:hanging="288"/>
        <w:jc w:val="both"/>
        <w:rPr>
          <w:rFonts w:cs="Calibri"/>
          <w:b/>
        </w:rPr>
      </w:pPr>
      <w:r w:rsidRPr="0051092F">
        <w:rPr>
          <w:rFonts w:cs="Calibri"/>
          <w:b/>
        </w:rPr>
        <w:t>Uvod</w:t>
      </w:r>
    </w:p>
    <w:p w:rsidR="00792172" w:rsidRPr="0051092F" w:rsidRDefault="00792172">
      <w:pPr>
        <w:pStyle w:val="Tijeloteksta"/>
        <w:spacing w:before="60" w:after="0"/>
        <w:ind w:left="288" w:hanging="288"/>
        <w:jc w:val="both"/>
        <w:rPr>
          <w:rFonts w:cs="Calibri"/>
          <w:b/>
        </w:rPr>
      </w:pPr>
    </w:p>
    <w:p w:rsidR="00792172" w:rsidRPr="0051092F" w:rsidRDefault="00CE2464">
      <w:pPr>
        <w:jc w:val="both"/>
        <w:rPr>
          <w:rFonts w:cs="Calibri"/>
          <w:b/>
          <w:bCs/>
        </w:rPr>
      </w:pPr>
      <w:r w:rsidRPr="0051092F">
        <w:rPr>
          <w:rFonts w:cs="Calibri"/>
        </w:rPr>
        <w:t xml:space="preserve">U Općinskoj službi za finansije, trezor i zajedničke poslove  obavljaju se poslovi i zadaci vezani za izradu prednacrta, nacrta i prijedloga i rebalansa budžeta, ostalih normativnih akata vezanih za budžet i njegovo izvršenje, izrada analiza, informacija i drugih analitičkih </w:t>
      </w:r>
      <w:r w:rsidR="0051092F" w:rsidRPr="0051092F">
        <w:rPr>
          <w:rFonts w:cs="Calibri"/>
        </w:rPr>
        <w:t xml:space="preserve">i </w:t>
      </w:r>
      <w:r w:rsidRPr="0051092F">
        <w:rPr>
          <w:rFonts w:cs="Calibri"/>
        </w:rPr>
        <w:t>stručnih materijala o izvršenju budžeta. U nadležnosti Službe je vođenje i prvostepenog upravnog postupka i izdavanje uvjerenja o činjenicama i podacima za koje se vodi službena evidencija, te praćenje, izvještavanje i izvršenje prihoda i rashoda organa uprave po vrstama i korisnicima.  Pored navedenog, Služba sprovodi i redovne stručno – operativne poslove pomoćne djelatnosti, sprovodi postupke javnih nabavki za potrebe organa uprave u skladu sa pozitivnim zakonskim propisima, te sprovodi tekuće I investiciono održavanje imovine u vlasništvu Općine.</w:t>
      </w:r>
    </w:p>
    <w:p w:rsidR="00792172" w:rsidRPr="0051092F" w:rsidRDefault="00CE2464">
      <w:pPr>
        <w:jc w:val="both"/>
        <w:rPr>
          <w:rFonts w:cs="Calibri"/>
        </w:rPr>
      </w:pPr>
      <w:r w:rsidRPr="0051092F">
        <w:rPr>
          <w:rFonts w:cs="Calibri"/>
          <w:b/>
          <w:bCs/>
        </w:rPr>
        <w:t>Svi poslovi Službe raspoređeni su u okviru slijedećih odsjeka:</w:t>
      </w:r>
    </w:p>
    <w:p w:rsidR="00792172" w:rsidRPr="0051092F" w:rsidRDefault="00CE2464">
      <w:pPr>
        <w:pStyle w:val="Odlomakpopisa1"/>
        <w:numPr>
          <w:ilvl w:val="0"/>
          <w:numId w:val="3"/>
        </w:numPr>
        <w:jc w:val="both"/>
        <w:rPr>
          <w:rFonts w:cs="Calibri"/>
        </w:rPr>
      </w:pPr>
      <w:r w:rsidRPr="0051092F">
        <w:rPr>
          <w:rFonts w:cs="Calibri"/>
        </w:rPr>
        <w:t>Odsjek za budžet</w:t>
      </w:r>
    </w:p>
    <w:p w:rsidR="00792172" w:rsidRPr="0051092F" w:rsidRDefault="00CE2464">
      <w:pPr>
        <w:pStyle w:val="Odlomakpopisa1"/>
        <w:numPr>
          <w:ilvl w:val="0"/>
          <w:numId w:val="3"/>
        </w:numPr>
        <w:jc w:val="both"/>
        <w:rPr>
          <w:rFonts w:cs="Calibri"/>
        </w:rPr>
      </w:pPr>
      <w:r w:rsidRPr="0051092F">
        <w:rPr>
          <w:rFonts w:cs="Calibri"/>
        </w:rPr>
        <w:t>Odsjek za finansije i trezor</w:t>
      </w:r>
    </w:p>
    <w:p w:rsidR="00792172" w:rsidRPr="0051092F" w:rsidRDefault="00CE2464">
      <w:pPr>
        <w:pStyle w:val="Odlomakpopisa1"/>
        <w:numPr>
          <w:ilvl w:val="0"/>
          <w:numId w:val="3"/>
        </w:numPr>
        <w:jc w:val="both"/>
        <w:rPr>
          <w:rFonts w:cs="Calibri"/>
        </w:rPr>
      </w:pPr>
      <w:r w:rsidRPr="0051092F">
        <w:rPr>
          <w:rFonts w:cs="Calibri"/>
        </w:rPr>
        <w:t>Odsjek za zajedničke poslove</w:t>
      </w:r>
    </w:p>
    <w:p w:rsidR="00792172" w:rsidRPr="0051092F" w:rsidRDefault="00792172">
      <w:pPr>
        <w:pStyle w:val="Odlomakpopisa1"/>
        <w:ind w:left="0"/>
        <w:jc w:val="both"/>
        <w:rPr>
          <w:rFonts w:cs="Calibri"/>
        </w:rPr>
      </w:pPr>
    </w:p>
    <w:p w:rsidR="00792172" w:rsidRPr="0051092F" w:rsidRDefault="00CE2464">
      <w:pPr>
        <w:pStyle w:val="Odlomakpopisa1"/>
        <w:ind w:left="0"/>
        <w:rPr>
          <w:rFonts w:eastAsia="Times New Roman" w:cs="Calibri"/>
          <w:kern w:val="1"/>
          <w:shd w:val="clear" w:color="auto" w:fill="FFFFFF"/>
          <w:lang w:val="hr-HR"/>
        </w:rPr>
      </w:pPr>
      <w:r w:rsidRPr="0051092F">
        <w:rPr>
          <w:rFonts w:cs="Calibri"/>
        </w:rPr>
        <w:t>Općinska služba nem</w:t>
      </w:r>
      <w:bookmarkStart w:id="0" w:name="_GoBack"/>
      <w:bookmarkEnd w:id="0"/>
      <w:r w:rsidRPr="0051092F">
        <w:rPr>
          <w:rFonts w:cs="Calibri"/>
        </w:rPr>
        <w:t>a strateško-programskih poslova, poslovi službe se odvijaju kontinuirano, i prema rokovima koji su utvrđeni Zakonom o budžetima, Zakonom o trezoru i drugih podzakonskih akata.</w:t>
      </w:r>
    </w:p>
    <w:p w:rsidR="00792172" w:rsidRPr="0051092F" w:rsidRDefault="00CE2464">
      <w:pPr>
        <w:shd w:val="clear" w:color="auto" w:fill="FFFFFF"/>
        <w:jc w:val="both"/>
        <w:rPr>
          <w:rFonts w:cs="Calibri"/>
        </w:rPr>
      </w:pPr>
      <w:r w:rsidRPr="0051092F">
        <w:rPr>
          <w:rFonts w:eastAsia="Times New Roman" w:cs="Calibri"/>
          <w:kern w:val="1"/>
          <w:shd w:val="clear" w:color="auto" w:fill="FFFFFF"/>
          <w:lang w:val="hr-HR"/>
        </w:rPr>
        <w:t xml:space="preserve">Struktura uposlenih u općinskoj službi za </w:t>
      </w:r>
      <w:proofErr w:type="spellStart"/>
      <w:r w:rsidRPr="0051092F">
        <w:rPr>
          <w:rFonts w:eastAsia="Times New Roman" w:cs="Calibri"/>
          <w:kern w:val="1"/>
          <w:shd w:val="clear" w:color="auto" w:fill="FFFFFF"/>
          <w:lang w:val="hr-HR"/>
        </w:rPr>
        <w:t>finansije</w:t>
      </w:r>
      <w:proofErr w:type="spellEnd"/>
      <w:r w:rsidRPr="0051092F">
        <w:rPr>
          <w:rFonts w:eastAsia="Times New Roman" w:cs="Calibri"/>
          <w:kern w:val="1"/>
          <w:shd w:val="clear" w:color="auto" w:fill="FFFFFF"/>
          <w:lang w:val="hr-HR"/>
        </w:rPr>
        <w:t>,trezor i zajedničke poslove:</w:t>
      </w:r>
    </w:p>
    <w:tbl>
      <w:tblPr>
        <w:tblW w:w="0" w:type="auto"/>
        <w:tblInd w:w="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1"/>
        <w:gridCol w:w="1332"/>
        <w:gridCol w:w="1492"/>
        <w:gridCol w:w="37"/>
        <w:gridCol w:w="1553"/>
        <w:gridCol w:w="139"/>
      </w:tblGrid>
      <w:tr w:rsidR="00792172">
        <w:tc>
          <w:tcPr>
            <w:tcW w:w="2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Struktura zaposlenih po stručnoj spremi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jc w:val="center"/>
            </w:pPr>
            <w:r>
              <w:rPr>
                <w:rFonts w:cs="Calibri"/>
              </w:rPr>
              <w:t>Struktura zaposlenih po polu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</w:pPr>
          </w:p>
        </w:tc>
      </w:tr>
      <w:tr w:rsidR="00792172"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</w:pP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Muški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jc w:val="center"/>
            </w:pPr>
            <w:r>
              <w:rPr>
                <w:rFonts w:cs="Calibri"/>
              </w:rPr>
              <w:t>Ženskih</w:t>
            </w:r>
          </w:p>
        </w:tc>
        <w:tc>
          <w:tcPr>
            <w:tcW w:w="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</w:pPr>
          </w:p>
        </w:tc>
      </w:tr>
      <w:tr w:rsidR="00792172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  <w:sz w:val="24"/>
              </w:rPr>
              <w:t xml:space="preserve">VSS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jc w:val="center"/>
            </w:pPr>
            <w:r>
              <w:rPr>
                <w:rFonts w:cs="Calibri"/>
              </w:rPr>
              <w:t>4</w:t>
            </w:r>
          </w:p>
        </w:tc>
      </w:tr>
      <w:tr w:rsidR="00792172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  <w:sz w:val="24"/>
              </w:rPr>
              <w:t>VŠ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jc w:val="center"/>
            </w:pPr>
            <w:r>
              <w:rPr>
                <w:rFonts w:cs="Calibri"/>
              </w:rPr>
              <w:t>2</w:t>
            </w:r>
          </w:p>
        </w:tc>
      </w:tr>
      <w:tr w:rsidR="00792172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  <w:sz w:val="24"/>
              </w:rPr>
              <w:t>SS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jc w:val="center"/>
            </w:pPr>
            <w:r>
              <w:rPr>
                <w:rFonts w:cs="Calibri"/>
              </w:rPr>
              <w:t>4</w:t>
            </w:r>
          </w:p>
        </w:tc>
      </w:tr>
      <w:tr w:rsidR="00792172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  <w:sz w:val="24"/>
              </w:rPr>
              <w:t>NK-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ED6AE3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jc w:val="center"/>
            </w:pPr>
            <w:r>
              <w:rPr>
                <w:rFonts w:cs="Calibri"/>
              </w:rPr>
              <w:t>5</w:t>
            </w:r>
          </w:p>
        </w:tc>
      </w:tr>
      <w:tr w:rsidR="00792172"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rPr>
                <w:rFonts w:cs="Calibri"/>
              </w:rPr>
            </w:pPr>
            <w:r>
              <w:rPr>
                <w:rFonts w:cs="Calibri"/>
                <w:sz w:val="24"/>
              </w:rPr>
              <w:t>Ukupno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72" w:rsidRDefault="00CE2464">
            <w:pPr>
              <w:spacing w:after="0" w:line="100" w:lineRule="atLeast"/>
              <w:jc w:val="center"/>
            </w:pPr>
            <w:r>
              <w:rPr>
                <w:rFonts w:cs="Calibri"/>
              </w:rPr>
              <w:t>15</w:t>
            </w:r>
          </w:p>
        </w:tc>
      </w:tr>
    </w:tbl>
    <w:p w:rsidR="00792172" w:rsidRDefault="00792172">
      <w:pPr>
        <w:sectPr w:rsidR="00792172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20"/>
          <w:docGrid w:linePitch="600" w:charSpace="36864"/>
        </w:sectPr>
      </w:pPr>
    </w:p>
    <w:p w:rsidR="00792172" w:rsidRDefault="00CE2464">
      <w:pPr>
        <w:keepNext/>
        <w:keepLines/>
        <w:numPr>
          <w:ilvl w:val="0"/>
          <w:numId w:val="4"/>
        </w:numPr>
        <w:spacing w:before="60" w:after="0" w:line="240" w:lineRule="auto"/>
        <w:ind w:left="720" w:hanging="720"/>
        <w:jc w:val="center"/>
        <w:rPr>
          <w:rFonts w:cs="Calibri"/>
          <w:b/>
          <w:sz w:val="20"/>
        </w:rPr>
      </w:pPr>
      <w:r>
        <w:rPr>
          <w:rFonts w:cs="Calibri"/>
          <w:b/>
          <w:color w:val="345A8A"/>
          <w:sz w:val="28"/>
        </w:rPr>
        <w:lastRenderedPageBreak/>
        <w:t xml:space="preserve"> Redovni poslovi Službe za finansije, trezor i zajedničke poslove</w:t>
      </w:r>
    </w:p>
    <w:tbl>
      <w:tblPr>
        <w:tblW w:w="0" w:type="auto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635"/>
        <w:gridCol w:w="1125"/>
        <w:gridCol w:w="1155"/>
        <w:gridCol w:w="1455"/>
        <w:gridCol w:w="165"/>
        <w:gridCol w:w="105"/>
        <w:gridCol w:w="855"/>
        <w:gridCol w:w="30"/>
        <w:gridCol w:w="885"/>
        <w:gridCol w:w="1020"/>
        <w:gridCol w:w="30"/>
        <w:gridCol w:w="2250"/>
        <w:gridCol w:w="180"/>
        <w:gridCol w:w="1125"/>
        <w:gridCol w:w="1650"/>
      </w:tblGrid>
      <w:tr w:rsidR="00792172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4E3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R.br.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4E3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>Projekti, mjere i redovni poslovi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4E3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Veza sa strategijom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4E3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 xml:space="preserve">Veza sa programom 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4E3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Rezultati u prvih 6 mjeseci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4E3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Ukupno planirana sredstva za tekuću godinu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4E3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hd w:val="clear" w:color="auto" w:fill="FFFF00"/>
              </w:rPr>
            </w:pPr>
            <w:r>
              <w:rPr>
                <w:rFonts w:cs="Calibri"/>
                <w:b/>
                <w:color w:val="000000"/>
                <w:sz w:val="20"/>
              </w:rPr>
              <w:t>Realizovana sredstva u prvih 6 mjeseci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4E3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hd w:val="clear" w:color="auto" w:fill="FFFF00"/>
              </w:rPr>
            </w:pPr>
          </w:p>
          <w:p w:rsidR="00792172" w:rsidRDefault="00CE246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</w:rPr>
              <w:t>Budžetski kod i/ili oznaku ekst. izvora</w:t>
            </w:r>
          </w:p>
          <w:p w:rsidR="00792172" w:rsidRDefault="0079217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4E3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Rok za izvršenje  (u tekućoj godini)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vAlign w:val="center"/>
          </w:tcPr>
          <w:p w:rsidR="00792172" w:rsidRDefault="00CE2464">
            <w:pPr>
              <w:spacing w:after="0" w:line="240" w:lineRule="auto"/>
              <w:jc w:val="center"/>
            </w:pPr>
            <w:r>
              <w:rPr>
                <w:rFonts w:cs="Calibri"/>
                <w:b/>
                <w:color w:val="000000"/>
                <w:sz w:val="20"/>
              </w:rPr>
              <w:t>Osoba u Službi/Odjeljenju odgovorna za  aktivnost</w:t>
            </w:r>
          </w:p>
        </w:tc>
      </w:tr>
      <w:tr w:rsidR="00792172">
        <w:trPr>
          <w:trHeight w:val="32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85" w:type="dxa"/>
            <w:vMerge w:val="restart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Budžet JLS</w:t>
            </w:r>
          </w:p>
        </w:tc>
        <w:tc>
          <w:tcPr>
            <w:tcW w:w="1020" w:type="dxa"/>
            <w:vMerge w:val="restart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</w:rPr>
              <w:t>Eksterni izvori</w:t>
            </w:r>
          </w:p>
        </w:tc>
        <w:tc>
          <w:tcPr>
            <w:tcW w:w="2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</w:tr>
      <w:tr w:rsidR="00792172">
        <w:trPr>
          <w:trHeight w:val="32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85" w:type="dxa"/>
            <w:vMerge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020" w:type="dxa"/>
            <w:vMerge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2172" w:rsidRDefault="00792172">
            <w:pPr>
              <w:snapToGrid w:val="0"/>
              <w:spacing w:before="60" w:after="0" w:line="240" w:lineRule="auto"/>
              <w:jc w:val="both"/>
              <w:rPr>
                <w:rFonts w:cs="Calibri"/>
              </w:rPr>
            </w:pPr>
          </w:p>
        </w:tc>
      </w:tr>
      <w:tr w:rsidR="00792172">
        <w:tblPrEx>
          <w:tblCellMar>
            <w:left w:w="108" w:type="dxa"/>
            <w:right w:w="108" w:type="dxa"/>
          </w:tblCellMar>
        </w:tblPrEx>
        <w:tc>
          <w:tcPr>
            <w:tcW w:w="142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jc w:val="center"/>
            </w:pPr>
            <w:r>
              <w:rPr>
                <w:rFonts w:cs="Calibri"/>
                <w:b/>
                <w:color w:val="000000"/>
                <w:sz w:val="20"/>
              </w:rPr>
              <w:t>STRATEŠKI PROJEKTI I MJERE</w:t>
            </w:r>
          </w:p>
        </w:tc>
      </w:tr>
      <w:tr w:rsidR="00792172">
        <w:trPr>
          <w:trHeight w:val="1261"/>
        </w:trPr>
        <w:tc>
          <w:tcPr>
            <w:tcW w:w="54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1.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Izrada konačnih odluka,analiza izvještaja, stručnih materijala.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725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Urađen</w:t>
            </w:r>
            <w:r w:rsidR="00FB2EC6">
              <w:rPr>
                <w:rFonts w:cs="Calibri"/>
                <w:color w:val="000000"/>
                <w:sz w:val="20"/>
              </w:rPr>
              <w:t>a odluka o izvršenju budžeta 2018</w:t>
            </w:r>
            <w:r>
              <w:rPr>
                <w:rFonts w:cs="Calibri"/>
                <w:color w:val="000000"/>
                <w:sz w:val="20"/>
              </w:rPr>
              <w:t>.godine, i mjes</w:t>
            </w:r>
            <w:r w:rsidR="00FB2EC6">
              <w:rPr>
                <w:rFonts w:cs="Calibri"/>
                <w:color w:val="000000"/>
                <w:sz w:val="20"/>
              </w:rPr>
              <w:t>ečno rađeni izvještaji za interne potrebe.</w:t>
            </w:r>
          </w:p>
          <w:p w:rsidR="00792172" w:rsidRDefault="00792172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2460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color w:val="333333"/>
                <w:sz w:val="20"/>
              </w:rPr>
              <w:t xml:space="preserve">Kontinuirano 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  <w:tr w:rsidR="00792172">
        <w:tc>
          <w:tcPr>
            <w:tcW w:w="54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2.</w:t>
            </w:r>
          </w:p>
          <w:p w:rsidR="00792172" w:rsidRDefault="00792172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63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Sprovedba i izvršavanje svih zakonskih i podzakonskih akata Federacije, USK, Općinskog vijeća i drugih odluka iz nadležnosti službe.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725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Sprovedena odluka</w:t>
            </w:r>
            <w:r w:rsidR="00FB2EC6">
              <w:rPr>
                <w:rFonts w:cs="Calibri"/>
                <w:color w:val="000000"/>
                <w:sz w:val="20"/>
              </w:rPr>
              <w:t xml:space="preserve"> </w:t>
            </w:r>
            <w:r>
              <w:rPr>
                <w:rFonts w:cs="Calibri"/>
                <w:color w:val="000000"/>
                <w:sz w:val="20"/>
              </w:rPr>
              <w:t xml:space="preserve"> o utrošku sredstava za poljoprivredu, sprovede se odluke vijeća o fin. političkih partija, odluka o fin. komunalnog fonda i dr.donešene odluke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2460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color w:val="333333"/>
                <w:sz w:val="20"/>
              </w:rPr>
              <w:t xml:space="preserve">Kontinuirano 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  <w:tr w:rsidR="00792172">
        <w:tc>
          <w:tcPr>
            <w:tcW w:w="54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Izrada nacrta i prijedloga Općinskog budžeta i realizacija istog.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725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FB2EC6" w:rsidP="00FB2EC6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Nacrt bužeta za 2019</w:t>
            </w:r>
            <w:r w:rsidR="00CE2464">
              <w:rPr>
                <w:rFonts w:cs="Calibri"/>
                <w:color w:val="000000"/>
                <w:sz w:val="20"/>
              </w:rPr>
              <w:t>. i nacrt Od</w:t>
            </w:r>
            <w:r>
              <w:rPr>
                <w:rFonts w:cs="Calibri"/>
                <w:color w:val="000000"/>
                <w:sz w:val="20"/>
              </w:rPr>
              <w:t>luke o izvršenju budžeta za 2019</w:t>
            </w:r>
            <w:r w:rsidR="00CE2464">
              <w:rPr>
                <w:rFonts w:cs="Calibri"/>
                <w:color w:val="000000"/>
                <w:sz w:val="20"/>
              </w:rPr>
              <w:t>.godinu usvojen od strane općinskog vijeća u decembru 201</w:t>
            </w:r>
            <w:r>
              <w:rPr>
                <w:rFonts w:cs="Calibri"/>
                <w:color w:val="000000"/>
                <w:sz w:val="20"/>
              </w:rPr>
              <w:t>8</w:t>
            </w:r>
            <w:r w:rsidR="00CE2464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2460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color w:val="333333"/>
                <w:sz w:val="20"/>
              </w:rPr>
              <w:t xml:space="preserve">Kontinuirano 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  <w:tr w:rsidR="00792172">
        <w:tc>
          <w:tcPr>
            <w:tcW w:w="54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  <w:p w:rsidR="00792172" w:rsidRDefault="0079217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3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Poslovi sistema trezora sa ovlaštenjim a u modulu unosa zakonskog budžeta, unos rebalansa.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725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 w:rsidP="00FB2EC6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 xml:space="preserve"> </w:t>
            </w:r>
            <w:r w:rsidR="00FB2EC6">
              <w:rPr>
                <w:rFonts w:cs="Calibri"/>
                <w:color w:val="000000"/>
                <w:sz w:val="20"/>
              </w:rPr>
              <w:t>Radi se kontinuirano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2460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333333"/>
                <w:sz w:val="20"/>
              </w:rPr>
            </w:pPr>
          </w:p>
          <w:p w:rsidR="00792172" w:rsidRDefault="00CE2464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color w:val="333333"/>
                <w:sz w:val="20"/>
              </w:rPr>
              <w:t xml:space="preserve">Kontinuirano 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rPr>
                <w:rFonts w:cs="Calibri"/>
                <w:sz w:val="20"/>
              </w:rPr>
            </w:pPr>
          </w:p>
          <w:p w:rsidR="00792172" w:rsidRDefault="00792172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  <w:tr w:rsidR="00792172">
        <w:tc>
          <w:tcPr>
            <w:tcW w:w="54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  <w:p w:rsidR="00792172" w:rsidRDefault="0079217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3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color w:val="000000"/>
                <w:sz w:val="20"/>
              </w:rPr>
              <w:t>Održavanje šifarnika banaka, održavanje informacij o budžetu unos i održavanje bankovnih računa i unos i održavanje šifarnika dobavljača i kupaca.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1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725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napToGrid w:val="0"/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Radi se kontinuirano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2460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333333"/>
                <w:sz w:val="20"/>
              </w:rPr>
            </w:pPr>
          </w:p>
          <w:p w:rsidR="00792172" w:rsidRDefault="00CE2464">
            <w:pPr>
              <w:spacing w:after="0" w:line="240" w:lineRule="auto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color w:val="333333"/>
                <w:sz w:val="20"/>
              </w:rPr>
              <w:t xml:space="preserve">Kontinuirano 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rPr>
                <w:rFonts w:cs="Calibri"/>
                <w:sz w:val="20"/>
              </w:rPr>
            </w:pPr>
          </w:p>
          <w:p w:rsidR="00792172" w:rsidRDefault="00792172">
            <w:pPr>
              <w:spacing w:after="0" w:line="240" w:lineRule="auto"/>
              <w:rPr>
                <w:rFonts w:cs="Calibri"/>
                <w:sz w:val="20"/>
              </w:rPr>
            </w:pPr>
          </w:p>
        </w:tc>
      </w:tr>
      <w:tr w:rsidR="00792172">
        <w:tc>
          <w:tcPr>
            <w:tcW w:w="54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  <w:p w:rsidR="00792172" w:rsidRDefault="00792172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3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Poslovi javnih nabavki, priprema prijedloga, procedura za provođenje postupaka , koordinacija stručnih poslova, komisije za javne nabavke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725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Donešen plan javnih nabavki koji prati plan budžeta, postoje formirane komisije za javne nabavke..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2460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color w:val="333333"/>
                <w:sz w:val="20"/>
              </w:rPr>
              <w:t>Kontinuirano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napToGrid w:val="0"/>
              <w:spacing w:after="0" w:line="240" w:lineRule="auto"/>
            </w:pPr>
            <w:r>
              <w:rPr>
                <w:rFonts w:cs="Calibri"/>
              </w:rPr>
              <w:t xml:space="preserve"> </w:t>
            </w:r>
          </w:p>
        </w:tc>
      </w:tr>
      <w:tr w:rsidR="00792172">
        <w:trPr>
          <w:trHeight w:val="1909"/>
        </w:trPr>
        <w:tc>
          <w:tcPr>
            <w:tcW w:w="54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Poslovi tekućeg I investicionog održavanja imovine u vlasništvu organa uprave, nabavka I monitoring potrošnog materijala, servisiranje I održavanje tehničkih kapaciteta organa uprave.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725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napToGrid w:val="0"/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Zamjena dotr</w:t>
            </w:r>
            <w:r w:rsidR="00887DED">
              <w:rPr>
                <w:rFonts w:cs="Calibri"/>
                <w:color w:val="000000"/>
                <w:sz w:val="20"/>
              </w:rPr>
              <w:t xml:space="preserve">ajale stolarije za matične urede i postavljanje sigurosnih vrata </w:t>
            </w:r>
            <w:r>
              <w:rPr>
                <w:rFonts w:cs="Calibri"/>
                <w:color w:val="000000"/>
                <w:sz w:val="20"/>
              </w:rPr>
              <w:t xml:space="preserve">, te održavanje </w:t>
            </w:r>
            <w:r w:rsidR="00887DED">
              <w:rPr>
                <w:rFonts w:cs="Calibri"/>
                <w:color w:val="000000"/>
                <w:sz w:val="20"/>
              </w:rPr>
              <w:t xml:space="preserve"> ostale </w:t>
            </w:r>
            <w:r>
              <w:rPr>
                <w:rFonts w:cs="Calibri"/>
                <w:color w:val="000000"/>
                <w:sz w:val="20"/>
              </w:rPr>
              <w:t>imovine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2460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 xml:space="preserve">Kontinuirano 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</w:rPr>
            </w:pPr>
          </w:p>
        </w:tc>
      </w:tr>
      <w:tr w:rsidR="00792172">
        <w:trPr>
          <w:trHeight w:val="2865"/>
        </w:trPr>
        <w:tc>
          <w:tcPr>
            <w:tcW w:w="54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</w:rPr>
              <w:t>8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Poslovi unaprijeđenja I održavanja mreže informacionih sistema, provođenje sigurnosnih mjera na zaštiti informacionih sistema.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725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1B5018" w:rsidP="001B5018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 xml:space="preserve"> D</w:t>
            </w:r>
            <w:r w:rsidR="00CE2464">
              <w:rPr>
                <w:rFonts w:cs="Calibri"/>
                <w:color w:val="000000"/>
                <w:sz w:val="20"/>
              </w:rPr>
              <w:t>ogradnja postoj</w:t>
            </w:r>
            <w:r>
              <w:rPr>
                <w:rFonts w:cs="Calibri"/>
                <w:color w:val="000000"/>
                <w:sz w:val="20"/>
              </w:rPr>
              <w:t xml:space="preserve">ećeg softvera </w:t>
            </w:r>
            <w:r w:rsidR="00887DED">
              <w:rPr>
                <w:rFonts w:cs="Calibri"/>
                <w:color w:val="000000"/>
                <w:sz w:val="20"/>
              </w:rPr>
              <w:t>za DOCU novu, nadogradnja modula arhive, zamjena postojecih hadvera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2460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sz w:val="20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 xml:space="preserve">Kontinuirano 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</w:rPr>
            </w:pPr>
          </w:p>
        </w:tc>
      </w:tr>
      <w:tr w:rsidR="00792172">
        <w:trPr>
          <w:trHeight w:val="840"/>
        </w:trPr>
        <w:tc>
          <w:tcPr>
            <w:tcW w:w="54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</w:rPr>
              <w:t>9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Poslovi obračuna I kontrole prihoda I rashoda, te praćenje finansijske promjene budžeta putem izvoda transakcijskih računa.Izvršavanje ugovora o investicionim ulaganjima I usklađivanje obaveza Općine prema dobavljačima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725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napToGrid w:val="0"/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Radili kontinuirano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2460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 xml:space="preserve">Kontinuirano 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pacing w:after="0" w:line="240" w:lineRule="auto"/>
              <w:jc w:val="center"/>
              <w:rPr>
                <w:rFonts w:cs="Calibri"/>
                <w:color w:val="333333"/>
                <w:sz w:val="20"/>
              </w:rPr>
            </w:pPr>
          </w:p>
        </w:tc>
      </w:tr>
      <w:tr w:rsidR="00792172">
        <w:tc>
          <w:tcPr>
            <w:tcW w:w="54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</w:rPr>
              <w:t>10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Poslovi likvidature – računska kontrola I  vođenje evidencije ulaznih I izlaznih faktura, vođenje PPM obrasca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725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 xml:space="preserve">Redovno se rade izlazne fakture i prate naplate, kao i ulazne fakture </w:t>
            </w:r>
          </w:p>
        </w:tc>
        <w:tc>
          <w:tcPr>
            <w:tcW w:w="8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2460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CE2464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6"/>
                <w:szCs w:val="16"/>
              </w:rPr>
              <w:t>Kontinuirano</w:t>
            </w:r>
          </w:p>
        </w:tc>
        <w:tc>
          <w:tcPr>
            <w:tcW w:w="16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792172">
        <w:tc>
          <w:tcPr>
            <w:tcW w:w="54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63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1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725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85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915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102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2460" w:type="dxa"/>
            <w:gridSpan w:val="3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12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center"/>
              <w:rPr>
                <w:rFonts w:cs="Calibri"/>
                <w:color w:val="333333"/>
                <w:sz w:val="20"/>
              </w:rPr>
            </w:pPr>
          </w:p>
        </w:tc>
        <w:tc>
          <w:tcPr>
            <w:tcW w:w="1650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172" w:rsidRDefault="00792172">
            <w:pPr>
              <w:snapToGrid w:val="0"/>
              <w:spacing w:after="0" w:line="240" w:lineRule="auto"/>
              <w:rPr>
                <w:rFonts w:cs="Calibri"/>
                <w:sz w:val="20"/>
              </w:rPr>
            </w:pPr>
          </w:p>
        </w:tc>
      </w:tr>
      <w:tr w:rsidR="00792172">
        <w:tblPrEx>
          <w:tblCellMar>
            <w:left w:w="108" w:type="dxa"/>
            <w:right w:w="108" w:type="dxa"/>
          </w:tblCellMar>
        </w:tblPrEx>
        <w:tc>
          <w:tcPr>
            <w:tcW w:w="1420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792172" w:rsidRDefault="00CE2464">
            <w:pPr>
              <w:spacing w:after="0" w:line="240" w:lineRule="auto"/>
              <w:jc w:val="center"/>
            </w:pPr>
            <w:r>
              <w:rPr>
                <w:rFonts w:cs="Calibri"/>
                <w:color w:val="000000"/>
                <w:sz w:val="20"/>
              </w:rPr>
              <w:t>REKAPITULACIJA  SREDSTAVA</w:t>
            </w:r>
          </w:p>
        </w:tc>
      </w:tr>
      <w:tr w:rsidR="00792172">
        <w:tc>
          <w:tcPr>
            <w:tcW w:w="5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172" w:rsidRDefault="00CE2464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A. Ukupno strateško programski prioriteti</w:t>
            </w:r>
          </w:p>
        </w:tc>
        <w:tc>
          <w:tcPr>
            <w:tcW w:w="1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sz w:val="20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92172" w:rsidRDefault="00792172">
            <w:pPr>
              <w:snapToGrid w:val="0"/>
              <w:spacing w:after="0" w:line="240" w:lineRule="auto"/>
              <w:rPr>
                <w:rFonts w:cs="Calibri"/>
                <w:color w:val="000000"/>
                <w:sz w:val="20"/>
              </w:rPr>
            </w:pPr>
          </w:p>
        </w:tc>
      </w:tr>
      <w:tr w:rsidR="00792172">
        <w:tc>
          <w:tcPr>
            <w:tcW w:w="5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172" w:rsidRDefault="00CE2464">
            <w:pPr>
              <w:spacing w:after="0" w:line="240" w:lineRule="auto"/>
              <w:rPr>
                <w:rFonts w:cs="Calibri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B. Ukupno redovni poslovi</w:t>
            </w:r>
          </w:p>
        </w:tc>
        <w:tc>
          <w:tcPr>
            <w:tcW w:w="1155" w:type="dxa"/>
            <w:gridSpan w:val="4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172" w:rsidRDefault="00CE2464">
            <w:pPr>
              <w:spacing w:after="0" w:line="240" w:lineRule="auto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0</w:t>
            </w:r>
          </w:p>
        </w:tc>
        <w:tc>
          <w:tcPr>
            <w:tcW w:w="88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172" w:rsidRDefault="00CE2464">
            <w:pPr>
              <w:spacing w:after="0" w:line="240" w:lineRule="auto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:rsidR="00792172" w:rsidRDefault="00CE2464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sz w:val="20"/>
              </w:rPr>
              <w:t>0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92172" w:rsidRDefault="00CE2464">
            <w:pPr>
              <w:spacing w:after="0" w:line="240" w:lineRule="auto"/>
            </w:pPr>
            <w:r>
              <w:rPr>
                <w:rFonts w:cs="Calibri"/>
                <w:color w:val="000000"/>
                <w:sz w:val="20"/>
              </w:rPr>
              <w:t>  </w:t>
            </w:r>
          </w:p>
        </w:tc>
      </w:tr>
      <w:tr w:rsidR="00792172">
        <w:tc>
          <w:tcPr>
            <w:tcW w:w="5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792172" w:rsidRDefault="00CE2464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  <w:color w:val="000000"/>
                <w:sz w:val="20"/>
              </w:rPr>
              <w:t>U K U P N O  S R E D S T A V A  (A + B):</w:t>
            </w:r>
          </w:p>
        </w:tc>
        <w:tc>
          <w:tcPr>
            <w:tcW w:w="1155" w:type="dxa"/>
            <w:gridSpan w:val="4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b/>
              </w:rPr>
            </w:pPr>
          </w:p>
        </w:tc>
        <w:tc>
          <w:tcPr>
            <w:tcW w:w="885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b/>
              </w:rPr>
            </w:pPr>
          </w:p>
        </w:tc>
        <w:tc>
          <w:tcPr>
            <w:tcW w:w="1050" w:type="dxa"/>
            <w:gridSpan w:val="2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8DB3E2"/>
            <w:vAlign w:val="center"/>
          </w:tcPr>
          <w:p w:rsidR="00792172" w:rsidRDefault="00792172">
            <w:pPr>
              <w:snapToGrid w:val="0"/>
              <w:spacing w:after="0" w:line="240" w:lineRule="auto"/>
              <w:jc w:val="right"/>
              <w:rPr>
                <w:rFonts w:cs="Calibri"/>
                <w:b/>
              </w:rPr>
            </w:pPr>
          </w:p>
        </w:tc>
        <w:tc>
          <w:tcPr>
            <w:tcW w:w="5205" w:type="dxa"/>
            <w:gridSpan w:val="4"/>
            <w:tcBorders>
              <w:top w:val="sing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:rsidR="00792172" w:rsidRDefault="00CE2464">
            <w:pPr>
              <w:spacing w:after="0" w:line="240" w:lineRule="auto"/>
              <w:jc w:val="center"/>
              <w:rPr>
                <w:rFonts w:cs="Calibri"/>
                <w:color w:val="FFFF00"/>
                <w:sz w:val="20"/>
              </w:rPr>
            </w:pPr>
            <w:r>
              <w:rPr>
                <w:rFonts w:cs="Calibri"/>
                <w:color w:val="FFFF00"/>
                <w:sz w:val="20"/>
              </w:rPr>
              <w:t> </w:t>
            </w:r>
          </w:p>
          <w:p w:rsidR="00792172" w:rsidRDefault="00CE2464">
            <w:pPr>
              <w:spacing w:after="0" w:line="240" w:lineRule="auto"/>
              <w:jc w:val="center"/>
            </w:pPr>
            <w:r>
              <w:rPr>
                <w:rFonts w:cs="Calibri"/>
                <w:color w:val="FFFF00"/>
                <w:sz w:val="20"/>
              </w:rPr>
              <w:t> </w:t>
            </w:r>
          </w:p>
        </w:tc>
      </w:tr>
    </w:tbl>
    <w:p w:rsidR="00792172" w:rsidRDefault="00792172">
      <w:pPr>
        <w:sectPr w:rsidR="0079217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418" w:right="1418" w:bottom="1418" w:left="1418" w:header="720" w:footer="720" w:gutter="0"/>
          <w:cols w:space="720"/>
          <w:docGrid w:linePitch="600" w:charSpace="36864"/>
        </w:sectPr>
      </w:pPr>
    </w:p>
    <w:p w:rsidR="00792172" w:rsidRDefault="00792172">
      <w:pPr>
        <w:pStyle w:val="Tijeloteksta"/>
      </w:pPr>
    </w:p>
    <w:p w:rsidR="00792172" w:rsidRDefault="00792172">
      <w:pPr>
        <w:pStyle w:val="Tijeloteksta"/>
        <w:rPr>
          <w:rFonts w:cs="Calibri"/>
          <w:i/>
          <w:sz w:val="20"/>
          <w:szCs w:val="20"/>
        </w:rPr>
      </w:pPr>
    </w:p>
    <w:p w:rsidR="00792172" w:rsidRDefault="00792172">
      <w:pPr>
        <w:pStyle w:val="Odlomakpopisa1"/>
        <w:jc w:val="both"/>
        <w:rPr>
          <w:rFonts w:cs="Calibri"/>
        </w:rPr>
      </w:pPr>
    </w:p>
    <w:p w:rsidR="00792172" w:rsidRDefault="00CE2464">
      <w:pPr>
        <w:pStyle w:val="Tijeloteksta"/>
        <w:numPr>
          <w:ilvl w:val="1"/>
          <w:numId w:val="2"/>
        </w:numPr>
      </w:pPr>
      <w:r>
        <w:rPr>
          <w:b/>
          <w:bCs/>
        </w:rPr>
        <w:t xml:space="preserve">       4. Obrazloženje neostvarenih ciljeva </w:t>
      </w:r>
    </w:p>
    <w:p w:rsidR="00792172" w:rsidRDefault="00CE2464">
      <w:pPr>
        <w:pStyle w:val="Tijeloteksta"/>
      </w:pPr>
      <w:r>
        <w:t xml:space="preserve">Obrazloženje neostvarenih ciljeva se nalazi u poglavlju </w:t>
      </w:r>
      <w:r>
        <w:rPr>
          <w:b/>
          <w:bCs/>
        </w:rPr>
        <w:t>5. Zaključci i preporuke.</w:t>
      </w:r>
    </w:p>
    <w:p w:rsidR="00792172" w:rsidRDefault="00792172">
      <w:pPr>
        <w:pStyle w:val="Tijeloteksta"/>
      </w:pPr>
    </w:p>
    <w:p w:rsidR="00792172" w:rsidRDefault="00CE2464">
      <w:pPr>
        <w:pStyle w:val="Tijeloteksta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Zaključci i preporuke</w:t>
      </w:r>
    </w:p>
    <w:p w:rsidR="00792172" w:rsidRDefault="00792172">
      <w:pPr>
        <w:pStyle w:val="Tijeloteksta"/>
        <w:rPr>
          <w:b/>
          <w:bCs/>
        </w:rPr>
      </w:pPr>
    </w:p>
    <w:p w:rsidR="00792172" w:rsidRDefault="00CE2464">
      <w:pPr>
        <w:pStyle w:val="Tijeloteksta"/>
      </w:pPr>
      <w:r>
        <w:t>Služba za finansije, trezor i zajedničke</w:t>
      </w:r>
      <w:r w:rsidR="0051092F">
        <w:t xml:space="preserve"> poslove u toku 2019. Godine  zajedno sa drugim službama treba da priprema i realizira uspostavu FUK.a i  da okonča prelazak budzetskih korisnika na tezorsko poslovanje. T</w:t>
      </w:r>
      <w:r>
        <w:t>renutno</w:t>
      </w:r>
      <w:r w:rsidR="0051092F">
        <w:t xml:space="preserve"> se  obavljaju  poslovi</w:t>
      </w:r>
      <w:r>
        <w:t xml:space="preserve"> ok</w:t>
      </w:r>
      <w:r w:rsidR="0051092F">
        <w:t>o izrade završnog računa za 2018</w:t>
      </w:r>
      <w:r>
        <w:t xml:space="preserve">. godinu koji smo u obavezi predati do 28.02.2018. godine.  </w:t>
      </w:r>
    </w:p>
    <w:p w:rsidR="00792172" w:rsidRDefault="00CE2464">
      <w:pPr>
        <w:pStyle w:val="Tijeloteksta"/>
      </w:pPr>
      <w:r>
        <w:t xml:space="preserve">Služba planira uraditi i Izjavu  </w:t>
      </w:r>
      <w:r w:rsidR="00F00ABC">
        <w:t>o fiskalnoj odgovornosti za 2018</w:t>
      </w:r>
      <w:r>
        <w:t>. godinu koju smo</w:t>
      </w:r>
      <w:r w:rsidR="00F00ABC">
        <w:t xml:space="preserve"> u obavezi predati do 15.03.2019</w:t>
      </w:r>
      <w:r>
        <w:t>. godine.</w:t>
      </w:r>
    </w:p>
    <w:p w:rsidR="00792172" w:rsidRDefault="00792172">
      <w:pPr>
        <w:pStyle w:val="Tijeloteksta"/>
      </w:pPr>
    </w:p>
    <w:p w:rsidR="00792172" w:rsidRDefault="00792172">
      <w:pPr>
        <w:pStyle w:val="Tijeloteksta"/>
      </w:pPr>
    </w:p>
    <w:p w:rsidR="00792172" w:rsidRDefault="00792172">
      <w:pPr>
        <w:spacing w:after="0"/>
        <w:jc w:val="both"/>
        <w:rPr>
          <w:rFonts w:ascii="Arial" w:hAnsi="Arial" w:cs="Arial"/>
        </w:rPr>
      </w:pPr>
    </w:p>
    <w:p w:rsidR="00792172" w:rsidRDefault="00CE246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Obrađivač:</w:t>
      </w:r>
    </w:p>
    <w:p w:rsidR="00792172" w:rsidRDefault="00CE246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Općinska služba za finansije,trezor i zajedničke poslove</w:t>
      </w:r>
    </w:p>
    <w:p w:rsidR="00792172" w:rsidRDefault="00CE246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Hrnčić Ermina</w:t>
      </w:r>
    </w:p>
    <w:p w:rsidR="00792172" w:rsidRDefault="00792172">
      <w:pPr>
        <w:pStyle w:val="Odlomakpopisa1"/>
        <w:spacing w:after="0"/>
        <w:ind w:left="360"/>
        <w:jc w:val="both"/>
        <w:rPr>
          <w:rFonts w:ascii="Arial" w:hAnsi="Arial" w:cs="Arial"/>
        </w:rPr>
      </w:pPr>
    </w:p>
    <w:p w:rsidR="00792172" w:rsidRDefault="00792172">
      <w:pPr>
        <w:pStyle w:val="Odlomakpopisa1"/>
        <w:spacing w:after="0"/>
        <w:ind w:left="360"/>
        <w:jc w:val="both"/>
        <w:rPr>
          <w:rFonts w:ascii="Arial" w:hAnsi="Arial" w:cs="Arial"/>
          <w:i/>
        </w:rPr>
      </w:pPr>
    </w:p>
    <w:p w:rsidR="00792172" w:rsidRDefault="00792172">
      <w:pPr>
        <w:pStyle w:val="Tijeloteksta"/>
      </w:pPr>
    </w:p>
    <w:p w:rsidR="00792172" w:rsidRDefault="00792172">
      <w:pPr>
        <w:pStyle w:val="Tijeloteksta"/>
      </w:pPr>
    </w:p>
    <w:p w:rsidR="00792172" w:rsidRDefault="00792172">
      <w:pPr>
        <w:pStyle w:val="Tijeloteksta"/>
      </w:pPr>
    </w:p>
    <w:p w:rsidR="00792172" w:rsidRDefault="00792172">
      <w:pPr>
        <w:pStyle w:val="Tijeloteksta"/>
        <w:rPr>
          <w:b/>
          <w:bCs/>
        </w:rPr>
      </w:pPr>
    </w:p>
    <w:p w:rsidR="00792172" w:rsidRDefault="00CE2464">
      <w:pPr>
        <w:pStyle w:val="Tijeloteksta"/>
        <w:numPr>
          <w:ilvl w:val="0"/>
          <w:numId w:val="7"/>
        </w:numPr>
      </w:pPr>
      <w:r>
        <w:rPr>
          <w:b/>
          <w:bCs/>
        </w:rPr>
        <w:t>Sažetak aktivnosti službe na relaciji Godišnjeg plana rada</w:t>
      </w:r>
    </w:p>
    <w:p w:rsidR="001A46CA" w:rsidRDefault="00CE2464" w:rsidP="001A46CA">
      <w:pPr>
        <w:pStyle w:val="Tijeloteksta"/>
      </w:pPr>
      <w:r>
        <w:t>U nadležnosti Općinske službe za finansije, tre</w:t>
      </w:r>
      <w:r w:rsidR="00F00ABC">
        <w:t>zor i zajedničke poslove za 2018</w:t>
      </w:r>
      <w:r>
        <w:t xml:space="preserve">. godinu   u </w:t>
      </w:r>
      <w:r>
        <w:rPr>
          <w:b/>
          <w:bCs/>
          <w:i/>
          <w:iCs/>
        </w:rPr>
        <w:t xml:space="preserve">Odsjeku za budžet </w:t>
      </w:r>
      <w:r>
        <w:t xml:space="preserve">realizirani su izvještaji o izvršenju budžeta koji su usvojeni od strane Općinskog vijeća,kao i sve prateće Odluke i dva Rebalansa budžeta sa pratećom dokumentacijom,  praćeni su  svi projekti </w:t>
      </w:r>
      <w:r w:rsidR="00F00ABC">
        <w:t xml:space="preserve">i isto tako usvojen je Plan budžeta za 2019. Godinu, sa projekcijom prihoda DOB i </w:t>
      </w:r>
      <w:r>
        <w:t xml:space="preserve"> Od</w:t>
      </w:r>
      <w:r w:rsidR="00F00ABC">
        <w:t>luka o izvršenju budžeta za 2019</w:t>
      </w:r>
      <w:r>
        <w:t>. go</w:t>
      </w:r>
      <w:r w:rsidR="00F00ABC">
        <w:t>dinu  u decembru 2018</w:t>
      </w:r>
      <w:r>
        <w:t xml:space="preserve">.godine kako se i planiralo. </w:t>
      </w:r>
    </w:p>
    <w:p w:rsidR="001A46CA" w:rsidRPr="001A46CA" w:rsidRDefault="001A46CA" w:rsidP="001A46CA">
      <w:pPr>
        <w:pStyle w:val="Tijeloteksta"/>
      </w:pPr>
      <w:r w:rsidRPr="001A46CA">
        <w:t xml:space="preserve">Kada je u pitanju  </w:t>
      </w:r>
      <w:proofErr w:type="spellStart"/>
      <w:r w:rsidRPr="001A46CA">
        <w:rPr>
          <w:rFonts w:eastAsia="Times New Roman" w:cs="Calibri"/>
          <w:color w:val="222222"/>
          <w:shd w:val="clear" w:color="auto" w:fill="FFFFFF"/>
          <w:lang w:val="hr-HR" w:eastAsia="hr-HR"/>
        </w:rPr>
        <w:t>rješevanje</w:t>
      </w:r>
      <w:proofErr w:type="spellEnd"/>
      <w:r w:rsidRPr="001A46CA">
        <w:rPr>
          <w:rFonts w:eastAsia="Times New Roman" w:cs="Calibri"/>
          <w:color w:val="222222"/>
          <w:shd w:val="clear" w:color="auto" w:fill="FFFFFF"/>
          <w:lang w:val="hr-HR" w:eastAsia="hr-HR"/>
        </w:rPr>
        <w:t xml:space="preserve"> upravnih stvari u upravnom postupku-</w:t>
      </w:r>
      <w:r w:rsidRPr="001A46CA">
        <w:rPr>
          <w:rFonts w:eastAsia="Times New Roman" w:cs="Calibri"/>
          <w:color w:val="222222"/>
          <w:lang w:val="hr-HR" w:eastAsia="hr-HR"/>
        </w:rPr>
        <w:br/>
      </w:r>
      <w:r w:rsidRPr="001A46CA">
        <w:rPr>
          <w:rFonts w:eastAsia="Times New Roman" w:cs="Calibri"/>
          <w:color w:val="222222"/>
          <w:shd w:val="clear" w:color="auto" w:fill="FFFFFF"/>
          <w:lang w:val="hr-HR" w:eastAsia="hr-HR"/>
        </w:rPr>
        <w:t xml:space="preserve">Zaprimljena 304.  predmeta od toga 296 riješeno u zakonskom roku i uvaženo, dok je 8 predmeta </w:t>
      </w:r>
      <w:r>
        <w:rPr>
          <w:rFonts w:eastAsia="Times New Roman" w:cs="Calibri"/>
          <w:color w:val="222222"/>
          <w:shd w:val="clear" w:color="auto" w:fill="FFFFFF"/>
          <w:lang w:val="hr-HR" w:eastAsia="hr-HR"/>
        </w:rPr>
        <w:t xml:space="preserve"> </w:t>
      </w:r>
      <w:r w:rsidRPr="001A46CA">
        <w:rPr>
          <w:rFonts w:eastAsia="Times New Roman" w:cs="Calibri"/>
          <w:color w:val="222222"/>
          <w:shd w:val="clear" w:color="auto" w:fill="FFFFFF"/>
          <w:lang w:val="hr-HR" w:eastAsia="hr-HR"/>
        </w:rPr>
        <w:t>ostalo</w:t>
      </w:r>
      <w:r w:rsidRPr="001A46CA">
        <w:rPr>
          <w:rFonts w:eastAsia="Times New Roman" w:cs="Calibri"/>
          <w:color w:val="222222"/>
          <w:lang w:val="hr-HR" w:eastAsia="hr-HR"/>
        </w:rPr>
        <w:t xml:space="preserve"> </w:t>
      </w:r>
      <w:r w:rsidRPr="001A46CA">
        <w:rPr>
          <w:rFonts w:eastAsia="Times New Roman" w:cs="Calibri"/>
          <w:color w:val="222222"/>
          <w:shd w:val="clear" w:color="auto" w:fill="FFFFFF"/>
          <w:lang w:val="hr-HR" w:eastAsia="hr-HR"/>
        </w:rPr>
        <w:t xml:space="preserve">neriješeno iz razloga što su zaprimljeni </w:t>
      </w:r>
      <w:r>
        <w:rPr>
          <w:rFonts w:eastAsia="Times New Roman" w:cs="Calibri"/>
          <w:color w:val="222222"/>
          <w:shd w:val="clear" w:color="auto" w:fill="FFFFFF"/>
          <w:lang w:val="hr-HR" w:eastAsia="hr-HR"/>
        </w:rPr>
        <w:t xml:space="preserve">kraljem </w:t>
      </w:r>
      <w:r w:rsidRPr="001A46CA">
        <w:rPr>
          <w:rFonts w:eastAsia="Times New Roman" w:cs="Calibri"/>
          <w:color w:val="222222"/>
          <w:shd w:val="clear" w:color="auto" w:fill="FFFFFF"/>
          <w:lang w:val="hr-HR" w:eastAsia="hr-HR"/>
        </w:rPr>
        <w:t xml:space="preserve">izvještajnog perioda. </w:t>
      </w:r>
      <w:r>
        <w:rPr>
          <w:rFonts w:eastAsia="Times New Roman" w:cs="Calibri"/>
          <w:color w:val="222222"/>
          <w:shd w:val="clear" w:color="auto" w:fill="FFFFFF"/>
          <w:lang w:val="hr-HR" w:eastAsia="hr-HR"/>
        </w:rPr>
        <w:t xml:space="preserve"> </w:t>
      </w:r>
      <w:r w:rsidRPr="001A46CA">
        <w:rPr>
          <w:rFonts w:eastAsia="Times New Roman" w:cs="Calibri"/>
          <w:color w:val="222222"/>
          <w:shd w:val="clear" w:color="auto" w:fill="FFFFFF"/>
          <w:lang w:val="hr-HR" w:eastAsia="hr-HR"/>
        </w:rPr>
        <w:t>Od  296 riješenih i uvaženih predmetna</w:t>
      </w:r>
      <w:r w:rsidRPr="001A46CA">
        <w:rPr>
          <w:rFonts w:eastAsia="Times New Roman" w:cs="Calibri"/>
          <w:color w:val="222222"/>
          <w:lang w:val="hr-HR" w:eastAsia="hr-HR"/>
        </w:rPr>
        <w:t xml:space="preserve"> </w:t>
      </w:r>
      <w:r w:rsidRPr="001A46CA">
        <w:rPr>
          <w:rFonts w:eastAsia="Times New Roman" w:cs="Calibri"/>
          <w:color w:val="222222"/>
          <w:shd w:val="clear" w:color="auto" w:fill="FFFFFF"/>
          <w:lang w:val="hr-HR" w:eastAsia="hr-HR"/>
        </w:rPr>
        <w:t>136. se odnosi na pomoć porodiljama,  a 160 predmeta se odnosi na</w:t>
      </w:r>
      <w:r w:rsidRPr="001A46CA">
        <w:rPr>
          <w:rFonts w:eastAsia="Times New Roman" w:cs="Calibri"/>
          <w:color w:val="222222"/>
          <w:lang w:val="hr-HR" w:eastAsia="hr-HR"/>
        </w:rPr>
        <w:t xml:space="preserve"> </w:t>
      </w:r>
      <w:r w:rsidRPr="001A46CA">
        <w:rPr>
          <w:rFonts w:eastAsia="Times New Roman" w:cs="Calibri"/>
          <w:color w:val="222222"/>
          <w:shd w:val="clear" w:color="auto" w:fill="FFFFFF"/>
          <w:lang w:val="hr-HR" w:eastAsia="hr-HR"/>
        </w:rPr>
        <w:t>tekuće transfere pojedincima i neprofitnim organizacijama.</w:t>
      </w:r>
    </w:p>
    <w:p w:rsidR="00792172" w:rsidRDefault="00792172">
      <w:pPr>
        <w:pStyle w:val="Tijeloteksta"/>
      </w:pPr>
    </w:p>
    <w:p w:rsidR="0050313D" w:rsidRDefault="00CE2464">
      <w:pPr>
        <w:pStyle w:val="Tijeloteksta"/>
      </w:pPr>
      <w:r>
        <w:t xml:space="preserve">Kada je u pitanju </w:t>
      </w:r>
      <w:r>
        <w:rPr>
          <w:b/>
          <w:bCs/>
          <w:i/>
          <w:iCs/>
        </w:rPr>
        <w:t xml:space="preserve">Odsjek za finansije i trezor </w:t>
      </w:r>
      <w:r w:rsidR="00F00ABC">
        <w:t>u toku 2018.</w:t>
      </w:r>
      <w:r>
        <w:t xml:space="preserve"> godine od strane Opć</w:t>
      </w:r>
      <w:r w:rsidR="0050313D">
        <w:t>inskog vijeća usvojeni su  Zavšni izvještaj – realizacija budzeta za 2017. Godinu, zatim izvješraj- realizacija budžeta tromjesečni za 2018, šestomjesečni izvještaj 2018. i devetomjesečni 2018. Isto tako u decembru usvojen je plan budžeta sa DOB-om 2019.godine kao i Odluka o izvršenju budžeta 2019.</w:t>
      </w:r>
    </w:p>
    <w:p w:rsidR="00792172" w:rsidRDefault="0050313D">
      <w:pPr>
        <w:pStyle w:val="Tijeloteksta"/>
      </w:pPr>
      <w:r>
        <w:t xml:space="preserve"> </w:t>
      </w:r>
      <w:r w:rsidR="00CE2464">
        <w:t>U toku godine kontirali smo i evidentirali obaveze i potraživanja Općine i knjižili finansijske promjene prema izvodima transakcijskih računa Općine i blagajničkih dnevnika, radili pojedinačne izvještaje za potrebe internih i eksternih organa, vršili arhiviranje finansijske i knjigovodstvene dokumentacije i isto tako aktivno učestvovali u radu za Meg projekte i projekte Undp-a.</w:t>
      </w:r>
    </w:p>
    <w:p w:rsidR="00792172" w:rsidRDefault="00CE2464">
      <w:pPr>
        <w:pStyle w:val="Tijeloteksta"/>
      </w:pPr>
      <w:r>
        <w:t>Svi postupci su se provodili u skladu sa Zakonom o budžetima u Federaciji BiH ( “Službeni novine FBiH “ broj: 102/13,9/14,13/14,8/15,91/15,102/15 i 104/16), Zakonom o trezoru ( “Službene novine FBiH “ broj 26/16), Zakonom o računovodstvu i reviziji u FBiH kao i drugim Pravilnicima i Uredbama koji regulišu ovu oblast.</w:t>
      </w:r>
    </w:p>
    <w:p w:rsidR="0050313D" w:rsidRDefault="0050313D">
      <w:pPr>
        <w:pStyle w:val="Tijeloteksta"/>
        <w:rPr>
          <w:b/>
          <w:bCs/>
        </w:rPr>
      </w:pPr>
    </w:p>
    <w:p w:rsidR="001A46CA" w:rsidRDefault="001A46CA">
      <w:pPr>
        <w:pStyle w:val="Tijeloteksta"/>
        <w:rPr>
          <w:b/>
          <w:bCs/>
        </w:rPr>
      </w:pPr>
    </w:p>
    <w:p w:rsidR="0051092F" w:rsidRDefault="0051092F">
      <w:pPr>
        <w:pStyle w:val="Tijeloteksta"/>
        <w:rPr>
          <w:b/>
          <w:bCs/>
        </w:rPr>
      </w:pPr>
    </w:p>
    <w:p w:rsidR="001A46CA" w:rsidRDefault="001A46CA">
      <w:pPr>
        <w:pStyle w:val="Tijeloteksta"/>
        <w:rPr>
          <w:b/>
          <w:bCs/>
        </w:rPr>
      </w:pPr>
    </w:p>
    <w:p w:rsidR="00792172" w:rsidRDefault="00CE2464">
      <w:pPr>
        <w:pStyle w:val="Tijeloteksta"/>
        <w:rPr>
          <w:b/>
          <w:bCs/>
        </w:rPr>
      </w:pPr>
      <w:r>
        <w:rPr>
          <w:b/>
          <w:bCs/>
        </w:rPr>
        <w:t>Odsjek za zajedničke poslove</w:t>
      </w:r>
    </w:p>
    <w:p w:rsidR="0050313D" w:rsidRDefault="0050313D">
      <w:pPr>
        <w:pStyle w:val="Tijeloteksta"/>
        <w:rPr>
          <w:b/>
          <w:bCs/>
        </w:rPr>
      </w:pPr>
    </w:p>
    <w:p w:rsidR="0050313D" w:rsidRPr="0050313D" w:rsidRDefault="0050313D" w:rsidP="0050313D">
      <w:pPr>
        <w:widowControl w:val="0"/>
        <w:spacing w:after="0" w:line="240" w:lineRule="auto"/>
        <w:rPr>
          <w:rFonts w:eastAsia="SimSun" w:cs="Calibri"/>
          <w:kern w:val="1"/>
          <w:lang w:val="hr-HR" w:eastAsia="hi-IN" w:bidi="hi-IN"/>
        </w:rPr>
      </w:pPr>
      <w:r w:rsidRPr="0050313D">
        <w:rPr>
          <w:rFonts w:eastAsia="SimSun" w:cs="Calibri"/>
          <w:kern w:val="1"/>
          <w:lang w:val="hr-HR" w:eastAsia="hi-IN" w:bidi="hi-IN"/>
        </w:rPr>
        <w:t xml:space="preserve">U nadležnosti Općinske službe za </w:t>
      </w:r>
      <w:proofErr w:type="spellStart"/>
      <w:r w:rsidRPr="0050313D">
        <w:rPr>
          <w:rFonts w:eastAsia="SimSun" w:cs="Calibri"/>
          <w:kern w:val="1"/>
          <w:lang w:val="hr-HR" w:eastAsia="hi-IN" w:bidi="hi-IN"/>
        </w:rPr>
        <w:t>finansije</w:t>
      </w:r>
      <w:proofErr w:type="spellEnd"/>
      <w:r w:rsidRPr="0050313D">
        <w:rPr>
          <w:rFonts w:eastAsia="SimSun" w:cs="Calibri"/>
          <w:kern w:val="1"/>
          <w:lang w:val="hr-HR" w:eastAsia="hi-IN" w:bidi="hi-IN"/>
        </w:rPr>
        <w:t>, trezor i zajedničke poslove za 2018.godinu, a prema Planu javnih nabavki općine Sanski Most koji je donesen</w:t>
      </w:r>
    </w:p>
    <w:p w:rsidR="00B56871" w:rsidRDefault="0050313D" w:rsidP="0050313D">
      <w:pPr>
        <w:widowControl w:val="0"/>
        <w:spacing w:after="0" w:line="240" w:lineRule="auto"/>
        <w:rPr>
          <w:rFonts w:eastAsia="SimSun" w:cs="Calibri"/>
          <w:kern w:val="1"/>
          <w:lang w:val="hr-HR" w:eastAsia="hi-IN" w:bidi="hi-IN"/>
        </w:rPr>
      </w:pPr>
      <w:r w:rsidRPr="0050313D">
        <w:rPr>
          <w:rFonts w:eastAsia="SimSun" w:cs="Calibri"/>
          <w:kern w:val="1"/>
          <w:lang w:val="hr-HR" w:eastAsia="hi-IN" w:bidi="hi-IN"/>
        </w:rPr>
        <w:t xml:space="preserve">02.02.2018. godine, planirano je 69 predmeta </w:t>
      </w:r>
      <w:r>
        <w:rPr>
          <w:rFonts w:eastAsia="SimSun" w:cs="Calibri"/>
          <w:kern w:val="1"/>
          <w:lang w:val="hr-HR" w:eastAsia="hi-IN" w:bidi="hi-IN"/>
        </w:rPr>
        <w:t>nabavki,</w:t>
      </w:r>
      <w:r w:rsidRPr="0050313D">
        <w:rPr>
          <w:rFonts w:eastAsia="SimSun" w:cs="Calibri"/>
          <w:kern w:val="1"/>
          <w:lang w:val="hr-HR" w:eastAsia="hi-IN" w:bidi="hi-IN"/>
        </w:rPr>
        <w:t xml:space="preserve"> a </w:t>
      </w:r>
      <w:r>
        <w:rPr>
          <w:rFonts w:eastAsia="SimSun" w:cs="Calibri"/>
          <w:kern w:val="1"/>
          <w:lang w:val="hr-HR" w:eastAsia="hi-IN" w:bidi="hi-IN"/>
        </w:rPr>
        <w:t>na</w:t>
      </w:r>
      <w:r w:rsidRPr="0050313D">
        <w:rPr>
          <w:rFonts w:eastAsia="SimSun" w:cs="Calibri"/>
          <w:kern w:val="1"/>
          <w:lang w:val="hr-HR" w:eastAsia="hi-IN" w:bidi="hi-IN"/>
        </w:rPr>
        <w:t>knadnim izmjenama i dopunama još 32 nabavke (robe, usluge i radovi).</w:t>
      </w:r>
    </w:p>
    <w:p w:rsidR="0050313D" w:rsidRPr="0050313D" w:rsidRDefault="0050313D" w:rsidP="0050313D">
      <w:pPr>
        <w:widowControl w:val="0"/>
        <w:spacing w:after="0" w:line="240" w:lineRule="auto"/>
        <w:rPr>
          <w:rFonts w:eastAsia="SimSun" w:cs="Calibri"/>
          <w:kern w:val="1"/>
          <w:lang w:val="hr-HR" w:eastAsia="hi-IN" w:bidi="hi-IN"/>
        </w:rPr>
      </w:pPr>
      <w:r w:rsidRPr="0050313D">
        <w:rPr>
          <w:rFonts w:eastAsia="SimSun" w:cs="Calibri"/>
          <w:kern w:val="1"/>
          <w:lang w:val="hr-HR" w:eastAsia="hi-IN" w:bidi="hi-IN"/>
        </w:rPr>
        <w:br/>
        <w:t>Određen broj izmjena i dopuna Plana javnih nabavki urađen je krajem godine tako da je to jedan od razloga što se iste nisu mogle pripremiti i izvršiti.</w:t>
      </w:r>
    </w:p>
    <w:p w:rsidR="00B56871" w:rsidRDefault="0050313D" w:rsidP="0050313D">
      <w:pPr>
        <w:widowControl w:val="0"/>
        <w:spacing w:after="0" w:line="240" w:lineRule="auto"/>
        <w:rPr>
          <w:rFonts w:eastAsia="SimSun" w:cs="Calibri"/>
          <w:kern w:val="1"/>
          <w:lang w:val="hr-HR" w:eastAsia="hi-IN" w:bidi="hi-IN"/>
        </w:rPr>
      </w:pPr>
      <w:r w:rsidRPr="0050313D">
        <w:rPr>
          <w:rFonts w:eastAsia="SimSun" w:cs="Calibri"/>
          <w:kern w:val="1"/>
          <w:lang w:val="hr-HR" w:eastAsia="hi-IN" w:bidi="hi-IN"/>
        </w:rPr>
        <w:t xml:space="preserve">Po navedenom Planu javnih nabavki zaključeno je 65 ugovora. </w:t>
      </w:r>
    </w:p>
    <w:p w:rsidR="0050313D" w:rsidRPr="0050313D" w:rsidRDefault="0050313D" w:rsidP="0050313D">
      <w:pPr>
        <w:widowControl w:val="0"/>
        <w:spacing w:after="0" w:line="240" w:lineRule="auto"/>
        <w:rPr>
          <w:rFonts w:eastAsia="SimSun" w:cs="Calibri"/>
          <w:kern w:val="1"/>
          <w:lang w:val="hr-HR" w:eastAsia="hi-IN" w:bidi="hi-IN"/>
        </w:rPr>
      </w:pPr>
      <w:proofErr w:type="spellStart"/>
      <w:r w:rsidRPr="0050313D">
        <w:rPr>
          <w:rFonts w:eastAsia="SimSun" w:cs="Calibri"/>
          <w:kern w:val="1"/>
          <w:lang w:val="hr-HR" w:eastAsia="hi-IN" w:bidi="hi-IN"/>
        </w:rPr>
        <w:t>Takođe</w:t>
      </w:r>
      <w:proofErr w:type="spellEnd"/>
      <w:r w:rsidRPr="0050313D">
        <w:rPr>
          <w:rFonts w:eastAsia="SimSun" w:cs="Calibri"/>
          <w:kern w:val="1"/>
          <w:lang w:val="hr-HR" w:eastAsia="hi-IN" w:bidi="hi-IN"/>
        </w:rPr>
        <w:t xml:space="preserve">, doneseno je i </w:t>
      </w:r>
      <w:r w:rsidR="00B56871">
        <w:rPr>
          <w:rFonts w:eastAsia="SimSun" w:cs="Calibri"/>
          <w:kern w:val="1"/>
          <w:lang w:val="hr-HR" w:eastAsia="hi-IN" w:bidi="hi-IN"/>
        </w:rPr>
        <w:t xml:space="preserve"> </w:t>
      </w:r>
      <w:r w:rsidRPr="0050313D">
        <w:rPr>
          <w:rFonts w:eastAsia="SimSun" w:cs="Calibri"/>
          <w:kern w:val="1"/>
          <w:lang w:val="hr-HR" w:eastAsia="hi-IN" w:bidi="hi-IN"/>
        </w:rPr>
        <w:t xml:space="preserve">12 Odluka o poništenju postupka javne nabavke i to, 6 Odluka iz razloga ne dostavljanja nijedne ponude u određenom krajnjem roku, 5 Odluka iz razloga što su cijene prihvatljivih ponuda bile znatno veće od </w:t>
      </w:r>
      <w:proofErr w:type="spellStart"/>
      <w:r w:rsidRPr="0050313D">
        <w:rPr>
          <w:rFonts w:eastAsia="SimSun" w:cs="Calibri"/>
          <w:kern w:val="1"/>
          <w:lang w:val="hr-HR" w:eastAsia="hi-IN" w:bidi="hi-IN"/>
        </w:rPr>
        <w:t>obezbijeđenih</w:t>
      </w:r>
      <w:proofErr w:type="spellEnd"/>
      <w:r w:rsidRPr="0050313D">
        <w:rPr>
          <w:rFonts w:eastAsia="SimSun" w:cs="Calibri"/>
          <w:kern w:val="1"/>
          <w:lang w:val="hr-HR" w:eastAsia="hi-IN" w:bidi="hi-IN"/>
        </w:rPr>
        <w:t xml:space="preserve"> sredstava, a </w:t>
      </w:r>
      <w:r w:rsidR="0051092F">
        <w:rPr>
          <w:rFonts w:eastAsia="SimSun" w:cs="Calibri"/>
          <w:kern w:val="1"/>
          <w:lang w:val="hr-HR" w:eastAsia="hi-IN" w:bidi="hi-IN"/>
        </w:rPr>
        <w:t xml:space="preserve">jedna </w:t>
      </w:r>
      <w:r w:rsidRPr="0050313D">
        <w:rPr>
          <w:rFonts w:eastAsia="SimSun" w:cs="Calibri"/>
          <w:kern w:val="1"/>
          <w:lang w:val="hr-HR" w:eastAsia="hi-IN" w:bidi="hi-IN"/>
        </w:rPr>
        <w:t xml:space="preserve">Odluka se odnosila na slučaj što su dvije ponude kod pokrenute nabavke, gdje je kriterij za dodjelu ugovora bio najniža cijena,  imale istu </w:t>
      </w:r>
      <w:r w:rsidR="0051092F">
        <w:rPr>
          <w:rFonts w:eastAsia="SimSun" w:cs="Calibri"/>
          <w:kern w:val="1"/>
          <w:lang w:val="hr-HR" w:eastAsia="hi-IN" w:bidi="hi-IN"/>
        </w:rPr>
        <w:t xml:space="preserve">cijenu, </w:t>
      </w:r>
      <w:r w:rsidRPr="0050313D">
        <w:rPr>
          <w:rFonts w:eastAsia="SimSun" w:cs="Calibri"/>
          <w:kern w:val="1"/>
          <w:lang w:val="hr-HR" w:eastAsia="hi-IN" w:bidi="hi-IN"/>
        </w:rPr>
        <w:t xml:space="preserve"> a ta je cijena bila najpovoljnija.</w:t>
      </w:r>
    </w:p>
    <w:p w:rsidR="0050313D" w:rsidRPr="0050313D" w:rsidRDefault="0050313D">
      <w:pPr>
        <w:pStyle w:val="Tijeloteksta"/>
        <w:rPr>
          <w:rFonts w:cs="Calibri"/>
          <w:b/>
          <w:bCs/>
        </w:rPr>
      </w:pPr>
    </w:p>
    <w:p w:rsidR="0051092F" w:rsidRDefault="0050313D" w:rsidP="0050313D">
      <w:pPr>
        <w:pStyle w:val="Tijeloteksta"/>
      </w:pPr>
      <w:r>
        <w:t>Pratili smo realizaciju zaključenih ugovora o javnim nabavkama</w:t>
      </w:r>
      <w:r w:rsidR="0051092F">
        <w:t>,  a o</w:t>
      </w:r>
      <w:r>
        <w:t>bavljaju se i sljedeći poslovi:  stručno-operativni poslovi pomoćne djelatnosti, organizacija i prevoz putničkim motornim vozilima za službene potrebe,održavanje i servisiranje službenih vozila, fizička i tehnička zaštita objekata, imovine i ljudi, tekuće i investiciono održavanje objekta- zgrade Općine, održavanje čistoće u radnim i drugim prostorijama Općine, portirski poslovi, poslovi telefoniste i snimatelja.</w:t>
      </w:r>
    </w:p>
    <w:p w:rsidR="0050313D" w:rsidRDefault="0050313D" w:rsidP="0050313D">
      <w:pPr>
        <w:pStyle w:val="Tijeloteksta"/>
      </w:pPr>
      <w:r>
        <w:t xml:space="preserve"> Svi navedeni poslovi obavljaju se  na tri lokacije i to: zgrada Općine u Titovoj br:3, zgrada Općine u Prijedorskj ulici i Vatrogasni dom. </w:t>
      </w:r>
    </w:p>
    <w:p w:rsidR="0050313D" w:rsidRDefault="0050313D">
      <w:pPr>
        <w:pStyle w:val="Tijeloteksta"/>
      </w:pPr>
    </w:p>
    <w:p w:rsidR="00792172" w:rsidRDefault="00CE2464">
      <w:pPr>
        <w:pStyle w:val="Tijeloteksta"/>
      </w:pPr>
      <w:r>
        <w:t>Postupci javnih nabavki roba, usluga i radova su se provodili u skladu sa Zakonom o javnim nabavkama BiH ( “Službeni glasnik BiH “, broj : 39/14) podzakonskim aktima donesenim u skladu sa navedenim Zakonom i internim aktima Općine.</w:t>
      </w:r>
    </w:p>
    <w:p w:rsidR="00CE2464" w:rsidRDefault="00CE2464">
      <w:pPr>
        <w:pStyle w:val="Tijeloteksta"/>
      </w:pPr>
    </w:p>
    <w:sectPr w:rsidR="00CE246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418" w:right="1418" w:bottom="1418" w:left="1418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464" w:rsidRDefault="00CE2464">
      <w:pPr>
        <w:spacing w:after="0" w:line="240" w:lineRule="auto"/>
      </w:pPr>
      <w:r>
        <w:separator/>
      </w:r>
    </w:p>
  </w:endnote>
  <w:endnote w:type="continuationSeparator" w:id="0">
    <w:p w:rsidR="00CE2464" w:rsidRDefault="00CE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72" w:rsidRDefault="0079217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72" w:rsidRDefault="001A46CA">
    <w:pPr>
      <w:pStyle w:val="Podnoj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pt;height:18pt" filled="t">
          <v:fill color2="black"/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72" w:rsidRDefault="0079217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72" w:rsidRDefault="0079217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72" w:rsidRDefault="0079217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72" w:rsidRDefault="0079217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72" w:rsidRDefault="0079217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72" w:rsidRDefault="00792172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72" w:rsidRDefault="007921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464" w:rsidRDefault="00CE2464">
      <w:pPr>
        <w:spacing w:after="0" w:line="240" w:lineRule="auto"/>
      </w:pPr>
      <w:r>
        <w:separator/>
      </w:r>
    </w:p>
  </w:footnote>
  <w:footnote w:type="continuationSeparator" w:id="0">
    <w:p w:rsidR="00CE2464" w:rsidRDefault="00CE2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72" w:rsidRDefault="0051092F">
    <w:pPr>
      <w:pStyle w:val="Zaglavlj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75pt" filled="t">
          <v:fill color2="black"/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72" w:rsidRDefault="0079217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72" w:rsidRDefault="0079217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72" w:rsidRDefault="00CE2464">
    <w:r>
      <w:t>3.2. Aktivnosti iz redovne nadležnosti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72" w:rsidRDefault="0079217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72" w:rsidRDefault="0079217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72" w:rsidRDefault="00792172">
    <w:pPr>
      <w:rPr>
        <w:b/>
        <w:bCs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72" w:rsidRDefault="007921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Wingdings"/>
        <w:color w:val="345A8A"/>
        <w:sz w:val="2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  <w:sz w:val="18"/>
        <w:szCs w:val="18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C73"/>
    <w:rsid w:val="001A46CA"/>
    <w:rsid w:val="001B5018"/>
    <w:rsid w:val="0050313D"/>
    <w:rsid w:val="0051092F"/>
    <w:rsid w:val="00792172"/>
    <w:rsid w:val="00887DED"/>
    <w:rsid w:val="00A60C73"/>
    <w:rsid w:val="00B56871"/>
    <w:rsid w:val="00CE2464"/>
    <w:rsid w:val="00ED6AE3"/>
    <w:rsid w:val="00F00ABC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bs-Latn-BA" w:eastAsia="ar-SA"/>
    </w:rPr>
  </w:style>
  <w:style w:type="paragraph" w:styleId="Naslov1">
    <w:name w:val="heading 1"/>
    <w:basedOn w:val="Heading"/>
    <w:next w:val="Tijeloteksta"/>
    <w:qFormat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/>
      <w:bCs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bCs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Calibri" w:hAnsi="Times New Roman" w:cs="Wingdings"/>
      <w:color w:val="345A8A"/>
      <w:sz w:val="28"/>
    </w:rPr>
  </w:style>
  <w:style w:type="character" w:customStyle="1" w:styleId="WW8Num4z1">
    <w:name w:val="WW8Num4z1"/>
    <w:rPr>
      <w:rFonts w:ascii="OpenSymbol" w:hAnsi="OpenSymbol" w:cs="Courier New"/>
      <w:sz w:val="18"/>
      <w:szCs w:val="1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Wingdings"/>
    </w:rPr>
  </w:style>
  <w:style w:type="character" w:customStyle="1" w:styleId="WW8Num5z1">
    <w:name w:val="WW8Num5z1"/>
    <w:rPr>
      <w:rFonts w:ascii="OpenSymbol" w:hAnsi="OpenSymbol" w:cs="Courier New"/>
      <w:sz w:val="18"/>
      <w:szCs w:val="1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  <w:b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Zadanifontodlomka1">
    <w:name w:val="Zadani font odlomka1"/>
  </w:style>
  <w:style w:type="character" w:customStyle="1" w:styleId="HeaderChar">
    <w:name w:val="Header Char"/>
    <w:basedOn w:val="Zadanifontodlomka1"/>
  </w:style>
  <w:style w:type="character" w:customStyle="1" w:styleId="FooterChar">
    <w:name w:val="Footer Char"/>
    <w:basedOn w:val="Zadanifontodlomka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aglaeno">
    <w:name w:val="Strong"/>
    <w:qFormat/>
    <w:rPr>
      <w:b/>
      <w:bCs/>
    </w:rPr>
  </w:style>
  <w:style w:type="character" w:customStyle="1" w:styleId="ListLabel4">
    <w:name w:val="ListLabel 4"/>
    <w:rPr>
      <w:rFonts w:eastAsia="Times New Roman" w:cs="Times New Roman"/>
    </w:rPr>
  </w:style>
  <w:style w:type="character" w:customStyle="1" w:styleId="ListLabel5">
    <w:name w:val="ListLabel 5"/>
    <w:rPr>
      <w:rFonts w:cs="Courier New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balonia1">
    <w:name w:val="Tekst balončića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MOSM</cp:lastModifiedBy>
  <cp:revision>2</cp:revision>
  <cp:lastPrinted>2018-02-09T11:56:00Z</cp:lastPrinted>
  <dcterms:created xsi:type="dcterms:W3CDTF">2019-02-11T13:52:00Z</dcterms:created>
  <dcterms:modified xsi:type="dcterms:W3CDTF">2019-02-11T13:52:00Z</dcterms:modified>
</cp:coreProperties>
</file>